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Análise Jurídica – Irregularidades no Chamamento Público de Codó/MA</w:t>
      </w:r>
    </w:p>
    <w:p>
      <w:pPr>
        <w:pStyle w:val="Heading2"/>
      </w:pPr>
      <w:r>
        <w:t>1. Situação Fática</w:t>
      </w:r>
    </w:p>
    <w:p>
      <w:r>
        <w:t>O Município de Codó/MA publicou um Chamamento Público para Credenciamento, com prazo de 14 de outubro a 13 de novembro de 2025, visando a ornamentação natalina. No entanto, o serviço já está sendo executado antes do término do credenciamento, configurando possível irregularidade conforme a Lei nº 14.133/2021.</w:t>
      </w:r>
    </w:p>
    <w:p>
      <w:pPr>
        <w:pStyle w:val="Heading2"/>
      </w:pPr>
      <w:r>
        <w:t>2. Ilegalidades Identificadas</w:t>
      </w:r>
    </w:p>
    <w:p>
      <w:r>
        <w:t>a) Violação do Princípio da Vinculação ao Instrumento Convocatório:</w:t>
        <w:br/>
        <w:t>O edital previa prazo até 13/11/2025, mas a execução iniciou antes. Há violação aos arts. 5º, 11 e 12 da Lei 14.133/2021, que exigem o respeito ao edital e à seleção prévia.</w:t>
      </w:r>
    </w:p>
    <w:p>
      <w:r>
        <w:t>b) Execução de Serviço sem Contrato:</w:t>
        <w:br/>
        <w:t>A execução antes da formalização contratual viola o art. 92 da Lei 14.133/2021, que considera nulo o contrato verbal, salvo pequenas compras até R$10.000,00.</w:t>
      </w:r>
    </w:p>
    <w:p>
      <w:r>
        <w:t>c) Possível Direcionamento ou Contratação Simulada:</w:t>
        <w:br/>
        <w:t>A execução antecipada indica possível fraude ou simulação de processo licitatório, em afronta ao art. 93 da Lei 14.133/2021 e art. 337-F do Código Penal.</w:t>
      </w:r>
    </w:p>
    <w:p>
      <w:pPr>
        <w:pStyle w:val="Heading2"/>
      </w:pPr>
      <w:r>
        <w:t>3. Consequências e Punições</w:t>
      </w:r>
    </w:p>
    <w:p>
      <w:r>
        <w:t>a) Para o Gestor Público:</w:t>
        <w:br/>
        <w:t>- Improbidade administrativa (Lei 8.429/1992, art. 10, VIII);</w:t>
        <w:br/>
        <w:t>- Multas e sanções pelo TCE/MA;</w:t>
        <w:br/>
        <w:t>- Responsabilidade penal (art. 337-F do CP – reclusão de 4 a 8 anos e multa).</w:t>
      </w:r>
    </w:p>
    <w:p>
      <w:r>
        <w:t>b) Para a Empresa Executora:</w:t>
        <w:br/>
        <w:t>- Impedimento de contratar com o poder público (art. 156, II, Lei 14.133/21);</w:t>
        <w:br/>
        <w:t>- Responsabilidade solidária pelos danos ao erário.</w:t>
      </w:r>
    </w:p>
    <w:p>
      <w:pPr>
        <w:pStyle w:val="Heading2"/>
      </w:pPr>
      <w:r>
        <w:t>4. Síntese Jurídica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Aspecto</w:t>
            </w:r>
          </w:p>
        </w:tc>
        <w:tc>
          <w:tcPr>
            <w:tcW w:type="dxa" w:w="2160"/>
          </w:tcPr>
          <w:p>
            <w:r>
              <w:t>Situação</w:t>
            </w:r>
          </w:p>
        </w:tc>
        <w:tc>
          <w:tcPr>
            <w:tcW w:type="dxa" w:w="2160"/>
          </w:tcPr>
          <w:p>
            <w:r>
              <w:t>Base Legal</w:t>
            </w:r>
          </w:p>
        </w:tc>
        <w:tc>
          <w:tcPr>
            <w:tcW w:type="dxa" w:w="2160"/>
          </w:tcPr>
          <w:p>
            <w:r>
              <w:t>Consequência</w:t>
            </w:r>
          </w:p>
        </w:tc>
      </w:tr>
      <w:tr>
        <w:tc>
          <w:tcPr>
            <w:tcW w:type="dxa" w:w="2160"/>
          </w:tcPr>
          <w:p>
            <w:r>
              <w:t>Execução sem contrato</w:t>
            </w:r>
          </w:p>
        </w:tc>
        <w:tc>
          <w:tcPr>
            <w:tcW w:type="dxa" w:w="2160"/>
          </w:tcPr>
          <w:p>
            <w:r>
              <w:t>Serviço iniciado antes da formalização</w:t>
            </w:r>
          </w:p>
        </w:tc>
        <w:tc>
          <w:tcPr>
            <w:tcW w:type="dxa" w:w="2160"/>
          </w:tcPr>
          <w:p>
            <w:r>
              <w:t>Art. 92 da Lei 14.133/2021</w:t>
            </w:r>
          </w:p>
        </w:tc>
        <w:tc>
          <w:tcPr>
            <w:tcW w:type="dxa" w:w="2160"/>
          </w:tcPr>
          <w:p>
            <w:r>
              <w:t>Nulidade do contrato e responsabilização do gestor</w:t>
            </w:r>
          </w:p>
        </w:tc>
      </w:tr>
      <w:tr>
        <w:tc>
          <w:tcPr>
            <w:tcW w:type="dxa" w:w="2160"/>
          </w:tcPr>
          <w:p>
            <w:r>
              <w:t>Direcionamento</w:t>
            </w:r>
          </w:p>
        </w:tc>
        <w:tc>
          <w:tcPr>
            <w:tcW w:type="dxa" w:w="2160"/>
          </w:tcPr>
          <w:p>
            <w:r>
              <w:t>Execução antes do término do credenciamento</w:t>
            </w:r>
          </w:p>
        </w:tc>
        <w:tc>
          <w:tcPr>
            <w:tcW w:type="dxa" w:w="2160"/>
          </w:tcPr>
          <w:p>
            <w:r>
              <w:t>Art. 5º e 11 da Lei 14.133/2021</w:t>
            </w:r>
          </w:p>
        </w:tc>
        <w:tc>
          <w:tcPr>
            <w:tcW w:type="dxa" w:w="2160"/>
          </w:tcPr>
          <w:p>
            <w:r>
              <w:t>Ato de improbidade e crime de fraude</w:t>
            </w:r>
          </w:p>
        </w:tc>
      </w:tr>
      <w:tr>
        <w:tc>
          <w:tcPr>
            <w:tcW w:type="dxa" w:w="2160"/>
          </w:tcPr>
          <w:p>
            <w:r>
              <w:t>Violação de princípios</w:t>
            </w:r>
          </w:p>
        </w:tc>
        <w:tc>
          <w:tcPr>
            <w:tcW w:type="dxa" w:w="2160"/>
          </w:tcPr>
          <w:p>
            <w:r>
              <w:t>Descumprimento da legalidade e moralidade</w:t>
            </w:r>
          </w:p>
        </w:tc>
        <w:tc>
          <w:tcPr>
            <w:tcW w:type="dxa" w:w="2160"/>
          </w:tcPr>
          <w:p>
            <w:r>
              <w:t>Art. 5º da Lei 14.133/2021</w:t>
            </w:r>
          </w:p>
        </w:tc>
        <w:tc>
          <w:tcPr>
            <w:tcW w:type="dxa" w:w="2160"/>
          </w:tcPr>
          <w:p>
            <w:r>
              <w:t>Sanções administrativas e civis</w:t>
            </w:r>
          </w:p>
        </w:tc>
      </w:tr>
      <w:tr>
        <w:tc>
          <w:tcPr>
            <w:tcW w:type="dxa" w:w="2160"/>
          </w:tcPr>
          <w:p>
            <w:r>
              <w:t>Responsabilidade penal</w:t>
            </w:r>
          </w:p>
        </w:tc>
        <w:tc>
          <w:tcPr>
            <w:tcW w:type="dxa" w:w="2160"/>
          </w:tcPr>
          <w:p>
            <w:r>
              <w:t>Simulação de licitação</w:t>
            </w:r>
          </w:p>
        </w:tc>
        <w:tc>
          <w:tcPr>
            <w:tcW w:type="dxa" w:w="2160"/>
          </w:tcPr>
          <w:p>
            <w:r>
              <w:t>Art. 337-F do Código Penal</w:t>
            </w:r>
          </w:p>
        </w:tc>
        <w:tc>
          <w:tcPr>
            <w:tcW w:type="dxa" w:w="2160"/>
          </w:tcPr>
          <w:p>
            <w:r>
              <w:t>Reclusão de 4 a 8 anos e multa</w:t>
            </w:r>
          </w:p>
        </w:tc>
      </w:tr>
    </w:tbl>
    <w:p>
      <w:pPr>
        <w:pStyle w:val="Heading2"/>
      </w:pPr>
      <w:r>
        <w:t>5. Conclusão</w:t>
      </w:r>
    </w:p>
    <w:p>
      <w:r>
        <w:t>O gestor de Codó/MA incorre em grave irregularidade administrativa ao permitir a execução dos serviços antes do encerramento do chamamento e da formalização contratual. Tal conduta caracteriza violação aos princípios da legalidade, moralidade e impessoalidade, podendo gerar responsabilização administrativa, civil e penal. Recomenda-se representação junto ao TCE/MA e ao Ministério Público para apuração.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